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-226060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ind w:left="34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-657860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0"/>
        </w:trPr>
        <w:tc>
          <w:tcPr>
            <w:tcW w:w="626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5241290</wp:posOffset>
            </wp:positionH>
            <wp:positionV relativeFrom="paragraph">
              <wp:posOffset>-624205</wp:posOffset>
            </wp:positionV>
            <wp:extent cx="57785" cy="6375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7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3968750</wp:posOffset>
            </wp:positionH>
            <wp:positionV relativeFrom="paragraph">
              <wp:posOffset>-624205</wp:posOffset>
            </wp:positionV>
            <wp:extent cx="57785" cy="6375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7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-1661160</wp:posOffset>
            </wp:positionH>
            <wp:positionV relativeFrom="paragraph">
              <wp:posOffset>741045</wp:posOffset>
            </wp:positionV>
            <wp:extent cx="6993890" cy="51663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51663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3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80"/>
            <w:col w:w="8480"/>
          </w:cols>
          <w:pgMar w:left="460" w:top="217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Fisch Robert</w:t>
        </w:r>
      </w:hyperlink>
    </w:p>
    <w:p>
      <w:pPr>
        <w:spacing w:after="0" w:line="28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 w:line="27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OLLIE'S BARGAIN OUTLET HOLDINGS, INC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6295 ALLENTOWN BOULEVARD, SUITE 1</w:t>
      </w:r>
    </w:p>
    <w:p>
      <w:pPr>
        <w:spacing w:after="0" w:line="28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8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8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HARRISBURG  PA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17112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</w:tr>
      <w:tr>
        <w:trPr>
          <w:trHeight w:val="21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80" w:type="dxa"/>
            <w:vAlign w:val="bottom"/>
            <w:gridSpan w:val="3"/>
          </w:tcPr>
          <w:p>
            <w:pPr>
              <w:spacing w:after="0" w:line="21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Ollie's Bargain Outlet Holdings,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OLLI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4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</w:tr>
      <w:tr>
        <w:trPr>
          <w:trHeight w:val="171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</w:tr>
      <w:tr>
        <w:trPr>
          <w:trHeight w:val="180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</w:tr>
      <w:tr>
        <w:trPr>
          <w:trHeight w:val="217"/>
        </w:trPr>
        <w:tc>
          <w:tcPr>
            <w:tcW w:w="30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04/01/2026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32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92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480" w:space="36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84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Transaction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$0.001 per share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04/01/2026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1,091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 w:line="3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00"/>
                <w:w w:val="83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w w:val="83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3"/>
              </w:rPr>
              <w:t>(2)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24,934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80" w:type="dxa"/>
            <w:vAlign w:val="bottom"/>
            <w:gridSpan w:val="9"/>
          </w:tcPr>
          <w:p>
            <w:pPr>
              <w:jc w:val="right"/>
              <w:ind w:righ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1,091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04/01/2026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1,091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61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1,644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04/01/2026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1,644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1,644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-2190750</wp:posOffset>
            </wp:positionV>
            <wp:extent cx="29210" cy="21958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95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conversion upon vesting of a restricted stock award into common stock ("Common Stock").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Units ("RSUs") convert into Common Stock on a one-for-one basis.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of the RSUs represents a contingent right to receive one share of Common Stock at vesting.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RSUs granted on April 1, 2025 vested in their entirety on April 1, 2026.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RSUs granted on April 1, 2026 will vest in their entirety on April 1, 2027.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By: /s/ James J. Comitale as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04/03/2026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8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both"/>
        <w:ind w:left="40" w:right="3620" w:firstLine="1"/>
        <w:spacing w:after="0" w:line="335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16357" TargetMode="External"/><Relationship Id="rId14" Type="http://schemas.openxmlformats.org/officeDocument/2006/relationships/hyperlink" Target="http://www.sec.gov/cgi-bin/browse-edgar?action=getcompany&amp;CIK=000163930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2026-04-03T16:05:19Z</dcterms:created>
  <dcterms:modified xsi:type="dcterms:W3CDTF">2026-04-03T16:05:19Z</dcterms:modified>
</cp:coreProperties>
</file>